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98" w:rsidRPr="004B6098" w:rsidRDefault="004B6098" w:rsidP="004B6098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3C3330"/>
          <w:sz w:val="23"/>
          <w:szCs w:val="23"/>
        </w:rPr>
      </w:pPr>
      <w:proofErr w:type="spellStart"/>
      <w:proofErr w:type="gramStart"/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सूचना</w:t>
      </w:r>
      <w:proofErr w:type="spellEnd"/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 xml:space="preserve"> !</w:t>
      </w:r>
      <w:proofErr w:type="gramEnd"/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> </w:t>
      </w:r>
    </w:p>
    <w:p w:rsidR="004B6098" w:rsidRPr="004B6098" w:rsidRDefault="004B6098" w:rsidP="004B6098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3C3330"/>
          <w:sz w:val="23"/>
          <w:szCs w:val="23"/>
        </w:rPr>
      </w:pPr>
      <w:proofErr w:type="spellStart"/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सूचना</w:t>
      </w:r>
      <w:proofErr w:type="spellEnd"/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प्रकाशन</w:t>
      </w:r>
      <w:proofErr w:type="spellEnd"/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मिति</w:t>
      </w:r>
      <w:proofErr w:type="spellEnd"/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 xml:space="preserve"> </w:t>
      </w:r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२०८२।</w:t>
      </w:r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 xml:space="preserve"> </w:t>
      </w:r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०१।०२</w:t>
      </w:r>
      <w:r w:rsidRPr="004B6098">
        <w:rPr>
          <w:rFonts w:ascii="Montserrat" w:eastAsia="Times New Roman" w:hAnsi="Montserrat" w:cs="Times New Roman"/>
          <w:b/>
          <w:bCs/>
          <w:color w:val="3C333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b/>
          <w:bCs/>
          <w:color w:val="3C3330"/>
          <w:sz w:val="23"/>
          <w:szCs w:val="23"/>
          <w:bdr w:val="none" w:sz="0" w:space="0" w:color="auto" w:frame="1"/>
        </w:rPr>
        <w:t>गते</w:t>
      </w:r>
      <w:proofErr w:type="spellEnd"/>
    </w:p>
    <w:p w:rsidR="004B6098" w:rsidRPr="004B6098" w:rsidRDefault="004B6098" w:rsidP="004B609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3C3330"/>
          <w:sz w:val="23"/>
          <w:szCs w:val="23"/>
        </w:rPr>
      </w:pP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यस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हेफर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इन्टरनेशनल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नेपालको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राष्ट्रिय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कार्यालयमा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पुरानो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काम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नलाग्ने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अवस्थामा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रहेका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केही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स्टील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फाईल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र्याक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,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फाईल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क्याबिनेट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,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कुर्सी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तथा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टेबल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लगायत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फर्निचरका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सामानहरु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बिक्री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गर्नुपर्ने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भएको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हुँदा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लिन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चाहने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ईच्छुक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संघ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>-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संस्था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तथा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व्यक्तिले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आफूले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खरिद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चाहेको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फर्निचरका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सामानहरुको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गोप्य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दरभाउ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पत्र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यो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सूचना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प्रकाशित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भएको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७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(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सात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)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दिनभित्र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कार्यालयमा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पेश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यस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सूचना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प्रकाशित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गरिएको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छ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।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बिक्री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फर्निचरका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सामानहरु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न्युनतम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मूल्यसूची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कार्यालयबाट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प्राप्त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अथवा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यहाँ</w:t>
      </w:r>
      <w:proofErr w:type="spellEnd"/>
      <w:r w:rsidRPr="004B6098">
        <w:rPr>
          <w:rFonts w:ascii="Montserrat" w:eastAsia="Times New Roman" w:hAnsi="Montserrat" w:cs="Montserrat"/>
          <w:color w:val="3C3330"/>
          <w:sz w:val="23"/>
          <w:szCs w:val="23"/>
        </w:rPr>
        <w:t> </w:t>
      </w:r>
      <w:hyperlink r:id="rId4" w:history="1">
        <w:r w:rsidRPr="004B6098">
          <w:rPr>
            <w:rFonts w:ascii="Montserrat" w:eastAsia="Times New Roman" w:hAnsi="Montserrat" w:cs="Times New Roman"/>
            <w:color w:val="0D416B"/>
            <w:sz w:val="23"/>
            <w:szCs w:val="23"/>
            <w:u w:val="single"/>
            <w:bdr w:val="none" w:sz="0" w:space="0" w:color="auto" w:frame="1"/>
          </w:rPr>
          <w:t>Disposal Asset List</w:t>
        </w:r>
      </w:hyperlink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> 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बाट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डाउनलोड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सकिन्छ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।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साथै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बिक्री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फर्निचरका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सामानहरुको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निरिक्षण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चाहेमा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यस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कार्यालयमा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मिति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२०८२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बैशाख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०२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गते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देखि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२०८२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बैशाख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०८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गतेसम्म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समय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दिउँसो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४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देखि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५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बजेभित्र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सम्पर्क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गर्न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अनुरोध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गरिन्छ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।</w:t>
      </w:r>
    </w:p>
    <w:p w:rsidR="004B6098" w:rsidRPr="004B6098" w:rsidRDefault="004B6098" w:rsidP="004B6098">
      <w:pPr>
        <w:shd w:val="clear" w:color="auto" w:fill="FFFFFF"/>
        <w:spacing w:after="225" w:line="240" w:lineRule="auto"/>
        <w:textAlignment w:val="baseline"/>
        <w:rPr>
          <w:rFonts w:ascii="Montserrat" w:eastAsia="Times New Roman" w:hAnsi="Montserrat" w:cs="Times New Roman"/>
          <w:color w:val="3C3330"/>
          <w:sz w:val="23"/>
          <w:szCs w:val="23"/>
        </w:rPr>
      </w:pP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न्युनतम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मूल्य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तलको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तालिकामा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proofErr w:type="spellStart"/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दिएको</w:t>
      </w:r>
      <w:proofErr w:type="spellEnd"/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छ</w:t>
      </w:r>
      <w:r w:rsidRPr="004B6098">
        <w:rPr>
          <w:rFonts w:ascii="Montserrat" w:eastAsia="Times New Roman" w:hAnsi="Montserrat" w:cs="Times New Roman"/>
          <w:color w:val="3C3330"/>
          <w:sz w:val="23"/>
          <w:szCs w:val="23"/>
        </w:rPr>
        <w:t xml:space="preserve"> </w:t>
      </w:r>
      <w:r w:rsidRPr="004B6098">
        <w:rPr>
          <w:rFonts w:ascii="Nirmala UI" w:eastAsia="Times New Roman" w:hAnsi="Nirmala UI" w:cs="Nirmala UI"/>
          <w:color w:val="3C3330"/>
          <w:sz w:val="23"/>
          <w:szCs w:val="23"/>
        </w:rPr>
        <w:t>।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985"/>
        <w:gridCol w:w="1898"/>
        <w:gridCol w:w="2756"/>
        <w:gridCol w:w="1140"/>
        <w:gridCol w:w="1862"/>
      </w:tblGrid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b/>
                <w:bCs/>
                <w:color w:val="999999"/>
                <w:sz w:val="21"/>
                <w:szCs w:val="21"/>
                <w:bdr w:val="none" w:sz="0" w:space="0" w:color="auto" w:frame="1"/>
              </w:rPr>
              <w:t>S.N.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b/>
                <w:bCs/>
                <w:color w:val="999999"/>
                <w:sz w:val="21"/>
                <w:szCs w:val="21"/>
                <w:bdr w:val="none" w:sz="0" w:space="0" w:color="auto" w:frame="1"/>
              </w:rPr>
              <w:t>Asset Name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b/>
                <w:bCs/>
                <w:color w:val="999999"/>
                <w:sz w:val="21"/>
                <w:szCs w:val="21"/>
                <w:bdr w:val="none" w:sz="0" w:space="0" w:color="auto" w:frame="1"/>
              </w:rPr>
              <w:t>Asset Code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b/>
                <w:bCs/>
                <w:color w:val="999999"/>
                <w:sz w:val="21"/>
                <w:szCs w:val="21"/>
                <w:bdr w:val="none" w:sz="0" w:space="0" w:color="auto" w:frame="1"/>
              </w:rPr>
              <w:t>Description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b/>
                <w:bCs/>
                <w:color w:val="999999"/>
                <w:sz w:val="21"/>
                <w:szCs w:val="21"/>
                <w:bdr w:val="none" w:sz="0" w:space="0" w:color="auto" w:frame="1"/>
              </w:rPr>
              <w:t>Condition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b/>
                <w:bCs/>
                <w:color w:val="999999"/>
                <w:sz w:val="21"/>
                <w:szCs w:val="21"/>
                <w:bdr w:val="none" w:sz="0" w:space="0" w:color="auto" w:frame="1"/>
              </w:rPr>
              <w:t>Nominal Value (NPRs)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OFC-07-P102-25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OFC-07-P102-24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OFC-03-P102-08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OFC-04-P102-12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OFC-05-P102-030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OFC-03-P102-09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HFR-FF-CO-007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OFC-06-P102-23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lastRenderedPageBreak/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Filing Cabinet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OFC-06-P102-18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4 door Filing Cabinet size 47x62x132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2,150.00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OFC-10-P03-081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OFC-98-P103-05A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OFC-00-P103-06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OFC-10-P03-082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OFC-10-P03-077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OFC-13-P103-096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Steel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OFC-10-P03-078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Slotted Angle Rack 6ft x 3ft x 1.25ft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1,350.00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Wooden Box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OFC-09-P103-061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    250.00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Wooden Filing Rack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HFR-FF-CO-STR-04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proofErr w:type="spellStart"/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Almirah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    1,500.00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Round Table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OFC-15-P106-154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 200.00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Wooden Chair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OFC-98-P110-17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Wooden Chair Without Arms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Damage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  100.00</w:t>
            </w:r>
          </w:p>
        </w:tc>
      </w:tr>
      <w:tr w:rsidR="004B6098" w:rsidRPr="004B6098" w:rsidTr="004B6098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Wooden Chair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OFC-06-P108-34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Wooden Chair Without Arms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Damage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6098" w:rsidRPr="004B6098" w:rsidRDefault="004B6098" w:rsidP="004B6098">
            <w:pPr>
              <w:spacing w:after="0" w:line="480" w:lineRule="auto"/>
              <w:rPr>
                <w:rFonts w:ascii="Arial" w:eastAsia="Times New Roman" w:hAnsi="Arial" w:cs="Arial"/>
                <w:color w:val="999999"/>
                <w:sz w:val="21"/>
                <w:szCs w:val="21"/>
              </w:rPr>
            </w:pPr>
            <w:r w:rsidRPr="004B6098">
              <w:rPr>
                <w:rFonts w:ascii="Arial" w:eastAsia="Times New Roman" w:hAnsi="Arial" w:cs="Arial"/>
                <w:color w:val="999999"/>
                <w:sz w:val="21"/>
                <w:szCs w:val="21"/>
              </w:rPr>
              <w:t>         100.00</w:t>
            </w:r>
          </w:p>
        </w:tc>
      </w:tr>
    </w:tbl>
    <w:p w:rsidR="007A51D8" w:rsidRDefault="007A51D8">
      <w:bookmarkStart w:id="0" w:name="_GoBack"/>
      <w:bookmarkEnd w:id="0"/>
    </w:p>
    <w:sectPr w:rsidR="007A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A"/>
    <w:rsid w:val="004B6098"/>
    <w:rsid w:val="00791B6A"/>
    <w:rsid w:val="007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10EB2-16F1-4A2B-BDE7-38CFF67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0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6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ifernepal.org/wp-content/uploads/2025/04/Disposal-Asset-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2025-04-16T10:30:00Z</dcterms:created>
  <dcterms:modified xsi:type="dcterms:W3CDTF">2025-04-16T10:30:00Z</dcterms:modified>
</cp:coreProperties>
</file>